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6"/>
        <w:tblW w:w="0" w:type="auto"/>
        <w:tblLook w:val="04A0" w:firstRow="1" w:lastRow="0" w:firstColumn="1" w:lastColumn="0" w:noHBand="0" w:noVBand="1"/>
      </w:tblPr>
      <w:tblGrid>
        <w:gridCol w:w="1418"/>
        <w:gridCol w:w="2126"/>
      </w:tblGrid>
      <w:tr w:rsidR="00916375" w:rsidRPr="00916375" w:rsidTr="00D10953">
        <w:trPr>
          <w:trHeight w:val="993"/>
        </w:trPr>
        <w:tc>
          <w:tcPr>
            <w:tcW w:w="1418" w:type="dxa"/>
            <w:tcBorders>
              <w:right w:val="single" w:sz="4" w:space="0" w:color="auto"/>
            </w:tcBorders>
            <w:shd w:val="clear" w:color="auto" w:fill="auto"/>
          </w:tcPr>
          <w:p w:rsidR="00916375" w:rsidRPr="00916375" w:rsidRDefault="00916375" w:rsidP="00916375">
            <w:pPr>
              <w:spacing w:after="0" w:line="360" w:lineRule="auto"/>
              <w:jc w:val="center"/>
              <w:rPr>
                <w:rFonts w:ascii="Arial" w:eastAsia="Times New Roman" w:hAnsi="Arial" w:cs="Arial"/>
              </w:rPr>
            </w:pPr>
            <w:r w:rsidRPr="00916375">
              <w:rPr>
                <w:rFonts w:ascii="Times New Roman" w:eastAsia="Times New Roman" w:hAnsi="Times New Roman" w:cs="Times New Roman"/>
                <w:noProof/>
                <w:sz w:val="24"/>
                <w:szCs w:val="24"/>
                <w:lang w:val="en-GB" w:eastAsia="en-GB"/>
              </w:rPr>
              <w:drawing>
                <wp:inline distT="0" distB="0" distL="0" distR="0">
                  <wp:extent cx="62865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tc>
        <w:tc>
          <w:tcPr>
            <w:tcW w:w="2126" w:type="dxa"/>
            <w:tcBorders>
              <w:left w:val="single" w:sz="4" w:space="0" w:color="auto"/>
            </w:tcBorders>
            <w:shd w:val="clear" w:color="auto" w:fill="auto"/>
          </w:tcPr>
          <w:p w:rsidR="00916375" w:rsidRPr="00916375" w:rsidRDefault="00916375" w:rsidP="00916375">
            <w:pPr>
              <w:spacing w:after="0" w:line="240" w:lineRule="auto"/>
              <w:jc w:val="center"/>
              <w:rPr>
                <w:rFonts w:ascii="Arial" w:eastAsia="Times New Roman" w:hAnsi="Arial" w:cs="Arial"/>
              </w:rPr>
            </w:pPr>
            <w:r w:rsidRPr="00916375">
              <w:rPr>
                <w:rFonts w:ascii="Times New Roman" w:eastAsia="Times New Roman" w:hAnsi="Times New Roman" w:cs="Times New Roman"/>
                <w:noProof/>
                <w:sz w:val="24"/>
                <w:szCs w:val="24"/>
                <w:lang w:val="en-GB" w:eastAsia="en-GB"/>
              </w:rPr>
              <w:drawing>
                <wp:inline distT="0" distB="0" distL="0" distR="0">
                  <wp:extent cx="9429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inline>
              </w:drawing>
            </w:r>
          </w:p>
        </w:tc>
      </w:tr>
      <w:tr w:rsidR="00916375" w:rsidRPr="00916375" w:rsidTr="00D10953">
        <w:tc>
          <w:tcPr>
            <w:tcW w:w="1418" w:type="dxa"/>
            <w:tcBorders>
              <w:right w:val="single" w:sz="4" w:space="0" w:color="auto"/>
            </w:tcBorders>
            <w:shd w:val="clear" w:color="auto" w:fill="auto"/>
          </w:tcPr>
          <w:p w:rsidR="00916375" w:rsidRPr="00916375" w:rsidRDefault="00916375" w:rsidP="00916375">
            <w:pPr>
              <w:spacing w:after="0" w:line="276" w:lineRule="auto"/>
              <w:jc w:val="center"/>
              <w:rPr>
                <w:rFonts w:ascii="Century Gothic" w:eastAsia="Times New Roman" w:hAnsi="Century Gothic" w:cs="Arial"/>
                <w:sz w:val="16"/>
              </w:rPr>
            </w:pPr>
            <w:r w:rsidRPr="00916375">
              <w:rPr>
                <w:rFonts w:ascii="Century Gothic" w:eastAsia="Times New Roman" w:hAnsi="Century Gothic" w:cs="Arial"/>
                <w:sz w:val="16"/>
              </w:rPr>
              <w:t>ΚΥΠΡΙΑΚΗ</w:t>
            </w:r>
            <w:r w:rsidRPr="00916375">
              <w:rPr>
                <w:rFonts w:ascii="Century Gothic" w:eastAsia="Times New Roman" w:hAnsi="Century Gothic" w:cs="Arial"/>
                <w:sz w:val="16"/>
                <w:lang w:val="en-US"/>
              </w:rPr>
              <w:t xml:space="preserve"> </w:t>
            </w:r>
            <w:r w:rsidRPr="00916375">
              <w:rPr>
                <w:rFonts w:ascii="Century Gothic" w:eastAsia="Times New Roman" w:hAnsi="Century Gothic" w:cs="Arial"/>
                <w:sz w:val="16"/>
              </w:rPr>
              <w:t>ΔΗΜΟΚΡΑΤΙΑ</w:t>
            </w:r>
          </w:p>
        </w:tc>
        <w:tc>
          <w:tcPr>
            <w:tcW w:w="2126" w:type="dxa"/>
            <w:tcBorders>
              <w:left w:val="single" w:sz="4" w:space="0" w:color="auto"/>
            </w:tcBorders>
            <w:shd w:val="clear" w:color="auto" w:fill="auto"/>
          </w:tcPr>
          <w:p w:rsidR="00916375" w:rsidRPr="00916375" w:rsidRDefault="00916375" w:rsidP="00916375">
            <w:pPr>
              <w:spacing w:after="0" w:line="276" w:lineRule="auto"/>
              <w:jc w:val="center"/>
              <w:rPr>
                <w:rFonts w:ascii="Century Gothic" w:eastAsia="Times New Roman" w:hAnsi="Century Gothic" w:cs="Arial"/>
                <w:sz w:val="16"/>
              </w:rPr>
            </w:pPr>
            <w:r w:rsidRPr="00916375">
              <w:rPr>
                <w:rFonts w:ascii="Century Gothic" w:eastAsia="Times New Roman" w:hAnsi="Century Gothic" w:cs="Arial"/>
                <w:sz w:val="16"/>
              </w:rPr>
              <w:t xml:space="preserve">ΑΝΩΤΑΤΟ </w:t>
            </w:r>
          </w:p>
          <w:p w:rsidR="00916375" w:rsidRPr="00916375" w:rsidRDefault="00916375" w:rsidP="00916375">
            <w:pPr>
              <w:spacing w:after="0" w:line="276" w:lineRule="auto"/>
              <w:jc w:val="center"/>
              <w:rPr>
                <w:rFonts w:ascii="Century Gothic" w:eastAsia="Times New Roman" w:hAnsi="Century Gothic" w:cs="Arial"/>
                <w:sz w:val="16"/>
              </w:rPr>
            </w:pPr>
            <w:r w:rsidRPr="00916375">
              <w:rPr>
                <w:rFonts w:ascii="Century Gothic" w:eastAsia="Times New Roman" w:hAnsi="Century Gothic" w:cs="Arial"/>
                <w:sz w:val="16"/>
              </w:rPr>
              <w:t>ΔΙΚΑΣΤΗΡΙΟ</w:t>
            </w:r>
          </w:p>
        </w:tc>
      </w:tr>
    </w:tbl>
    <w:p w:rsidR="00916375" w:rsidRDefault="00916375" w:rsidP="00916375">
      <w:pPr>
        <w:spacing w:line="360" w:lineRule="auto"/>
        <w:rPr>
          <w:rFonts w:ascii="Bookman Old Style" w:hAnsi="Bookman Old Style"/>
          <w:sz w:val="28"/>
          <w:szCs w:val="28"/>
          <w:lang w:val="en-GB"/>
        </w:rPr>
      </w:pPr>
    </w:p>
    <w:p w:rsidR="00916375" w:rsidRDefault="00916375" w:rsidP="00916375">
      <w:pPr>
        <w:spacing w:line="360" w:lineRule="auto"/>
        <w:rPr>
          <w:rFonts w:ascii="Bookman Old Style" w:hAnsi="Bookman Old Style"/>
          <w:sz w:val="28"/>
          <w:szCs w:val="28"/>
          <w:lang w:val="en-GB"/>
        </w:rPr>
      </w:pPr>
    </w:p>
    <w:p w:rsidR="00916375" w:rsidRDefault="00916375" w:rsidP="00916375">
      <w:pPr>
        <w:spacing w:line="360" w:lineRule="auto"/>
        <w:rPr>
          <w:rFonts w:ascii="Bookman Old Style" w:hAnsi="Bookman Old Style"/>
          <w:sz w:val="28"/>
          <w:szCs w:val="28"/>
          <w:lang w:val="en-GB"/>
        </w:rPr>
      </w:pPr>
    </w:p>
    <w:p w:rsidR="00916375" w:rsidRPr="00916375" w:rsidRDefault="00D14C94" w:rsidP="00916375">
      <w:pPr>
        <w:spacing w:line="360" w:lineRule="auto"/>
        <w:rPr>
          <w:rFonts w:ascii="Bookman Old Style" w:hAnsi="Bookman Old Style"/>
          <w:sz w:val="28"/>
          <w:szCs w:val="28"/>
        </w:rPr>
      </w:pPr>
      <w:r>
        <w:rPr>
          <w:rFonts w:ascii="Bookman Old Style" w:hAnsi="Bookman Old Style"/>
          <w:sz w:val="28"/>
          <w:szCs w:val="28"/>
        </w:rPr>
        <w:t>11</w:t>
      </w:r>
      <w:bookmarkStart w:id="0" w:name="_GoBack"/>
      <w:bookmarkEnd w:id="0"/>
      <w:r w:rsidR="00916375" w:rsidRPr="00916375">
        <w:rPr>
          <w:rFonts w:ascii="Bookman Old Style" w:hAnsi="Bookman Old Style"/>
          <w:sz w:val="28"/>
          <w:szCs w:val="28"/>
          <w:lang w:val="en-GB"/>
        </w:rPr>
        <w:t xml:space="preserve"> </w:t>
      </w:r>
      <w:r w:rsidR="00916375" w:rsidRPr="00916375">
        <w:rPr>
          <w:rFonts w:ascii="Bookman Old Style" w:hAnsi="Bookman Old Style"/>
          <w:sz w:val="28"/>
          <w:szCs w:val="28"/>
        </w:rPr>
        <w:t>Σεπτεμβρίου 2020</w:t>
      </w:r>
    </w:p>
    <w:p w:rsidR="00916375" w:rsidRDefault="00916375" w:rsidP="004E3586">
      <w:pPr>
        <w:spacing w:line="360" w:lineRule="auto"/>
        <w:jc w:val="center"/>
        <w:rPr>
          <w:rFonts w:ascii="Bookman Old Style" w:hAnsi="Bookman Old Style"/>
          <w:b/>
          <w:sz w:val="28"/>
          <w:szCs w:val="28"/>
          <w:u w:val="single"/>
        </w:rPr>
      </w:pPr>
    </w:p>
    <w:p w:rsidR="004E3586" w:rsidRDefault="004E3586" w:rsidP="00016DF7">
      <w:pPr>
        <w:spacing w:line="360" w:lineRule="auto"/>
        <w:jc w:val="center"/>
        <w:rPr>
          <w:rFonts w:ascii="Bookman Old Style" w:hAnsi="Bookman Old Style"/>
          <w:b/>
          <w:sz w:val="28"/>
          <w:szCs w:val="28"/>
          <w:u w:val="single"/>
        </w:rPr>
      </w:pPr>
      <w:r>
        <w:rPr>
          <w:rFonts w:ascii="Bookman Old Style" w:hAnsi="Bookman Old Style"/>
          <w:b/>
          <w:sz w:val="28"/>
          <w:szCs w:val="28"/>
          <w:u w:val="single"/>
        </w:rPr>
        <w:t xml:space="preserve">ΑΝΑΚΟΙΝΩΣΗ ΑΝΩΤΑΤΟΥ ΔΙΚΑΣΤΗΡΙΟΥ </w:t>
      </w:r>
    </w:p>
    <w:p w:rsidR="00016DF7" w:rsidRPr="00016DF7" w:rsidRDefault="00016DF7" w:rsidP="00016DF7">
      <w:pPr>
        <w:spacing w:line="360" w:lineRule="auto"/>
        <w:jc w:val="center"/>
        <w:rPr>
          <w:rFonts w:ascii="Bookman Old Style" w:hAnsi="Bookman Old Style"/>
          <w:b/>
          <w:sz w:val="28"/>
          <w:szCs w:val="28"/>
          <w:u w:val="single"/>
        </w:rPr>
      </w:pPr>
    </w:p>
    <w:p w:rsidR="007E0EE3" w:rsidRDefault="004E3586" w:rsidP="004E3586">
      <w:pPr>
        <w:spacing w:line="360" w:lineRule="auto"/>
        <w:jc w:val="both"/>
        <w:rPr>
          <w:rFonts w:ascii="Bookman Old Style" w:hAnsi="Bookman Old Style"/>
          <w:sz w:val="28"/>
          <w:szCs w:val="28"/>
        </w:rPr>
      </w:pPr>
      <w:r>
        <w:rPr>
          <w:rFonts w:ascii="Bookman Old Style" w:hAnsi="Bookman Old Style"/>
          <w:sz w:val="28"/>
          <w:szCs w:val="28"/>
        </w:rPr>
        <w:t>Το Ανώτατο Δικαστήριο</w:t>
      </w:r>
      <w:r w:rsidR="00465EBD">
        <w:rPr>
          <w:rFonts w:ascii="Bookman Old Style" w:hAnsi="Bookman Old Style"/>
          <w:sz w:val="28"/>
          <w:szCs w:val="28"/>
        </w:rPr>
        <w:t>,</w:t>
      </w:r>
      <w:r>
        <w:rPr>
          <w:rFonts w:ascii="Bookman Old Style" w:hAnsi="Bookman Old Style"/>
          <w:sz w:val="28"/>
          <w:szCs w:val="28"/>
        </w:rPr>
        <w:t xml:space="preserve"> σε πρόσφατη συνεδρία του αποφάσισε περαιτέρω αναθεώρηση του Οδηγού Δικαστικής Συμπεριφοράς για σκοπούς ενοποίησης των σχετικών </w:t>
      </w:r>
      <w:r w:rsidR="004F5DD1">
        <w:rPr>
          <w:rFonts w:ascii="Bookman Old Style" w:hAnsi="Bookman Old Style"/>
          <w:sz w:val="28"/>
          <w:szCs w:val="28"/>
        </w:rPr>
        <w:t>ρυθμίσεων</w:t>
      </w:r>
      <w:r>
        <w:rPr>
          <w:rFonts w:ascii="Bookman Old Style" w:hAnsi="Bookman Old Style"/>
          <w:sz w:val="28"/>
          <w:szCs w:val="28"/>
        </w:rPr>
        <w:t xml:space="preserve"> ως ακολούθως:</w:t>
      </w:r>
    </w:p>
    <w:p w:rsidR="004E3586" w:rsidRDefault="004E3586" w:rsidP="004E3586">
      <w:pPr>
        <w:spacing w:line="360" w:lineRule="auto"/>
        <w:jc w:val="both"/>
        <w:rPr>
          <w:rFonts w:ascii="Bookman Old Style" w:hAnsi="Bookman Old Style"/>
          <w:sz w:val="28"/>
          <w:szCs w:val="28"/>
        </w:rPr>
      </w:pPr>
    </w:p>
    <w:p w:rsidR="004E3586" w:rsidRDefault="004E3586" w:rsidP="004E3586">
      <w:pPr>
        <w:spacing w:line="360" w:lineRule="auto"/>
        <w:ind w:left="720"/>
        <w:jc w:val="both"/>
        <w:rPr>
          <w:rFonts w:ascii="Bookman Old Style" w:hAnsi="Bookman Old Style"/>
          <w:sz w:val="28"/>
          <w:szCs w:val="28"/>
        </w:rPr>
      </w:pPr>
      <w:r>
        <w:rPr>
          <w:rFonts w:ascii="Bookman Old Style" w:hAnsi="Bookman Old Style"/>
          <w:sz w:val="28"/>
          <w:szCs w:val="28"/>
        </w:rPr>
        <w:t>Η Δικαστική Πρακτική ημερομηνίας 1</w:t>
      </w:r>
      <w:r w:rsidR="00465EBD">
        <w:rPr>
          <w:rFonts w:ascii="Bookman Old Style" w:hAnsi="Bookman Old Style"/>
          <w:sz w:val="28"/>
          <w:szCs w:val="28"/>
        </w:rPr>
        <w:t>1</w:t>
      </w:r>
      <w:r>
        <w:rPr>
          <w:rFonts w:ascii="Bookman Old Style" w:hAnsi="Bookman Old Style"/>
          <w:sz w:val="28"/>
          <w:szCs w:val="28"/>
        </w:rPr>
        <w:t xml:space="preserve"> Φεβρουαρίου 2019</w:t>
      </w:r>
      <w:r w:rsidR="00465EBD">
        <w:rPr>
          <w:rFonts w:ascii="Bookman Old Style" w:hAnsi="Bookman Old Style"/>
          <w:sz w:val="28"/>
          <w:szCs w:val="28"/>
        </w:rPr>
        <w:t>, η οποία δημοσιεύτηκε στην Επίσημη Εφημερίδα της Κυπριακής Δημοκρατίας Αριθμός 4120, Παράρτημα Δεύτερο, Μέρος Ι, ημερομηνίας 15 Φεβρουαρίου 2020, Αριθμός 2,</w:t>
      </w:r>
      <w:r>
        <w:rPr>
          <w:rFonts w:ascii="Bookman Old Style" w:hAnsi="Bookman Old Style"/>
          <w:sz w:val="28"/>
          <w:szCs w:val="28"/>
        </w:rPr>
        <w:t xml:space="preserve"> ενσωματώνεται και αποτελεί αναπόσπαστο μέρος του Οδηγού Δικαστικής Συμπ</w:t>
      </w:r>
      <w:r w:rsidR="00E50A2E">
        <w:rPr>
          <w:rFonts w:ascii="Bookman Old Style" w:hAnsi="Bookman Old Style"/>
          <w:sz w:val="28"/>
          <w:szCs w:val="28"/>
        </w:rPr>
        <w:t>εριφοράς αριθμούμενη ως Μέρος Ε και προνοεί ως ακολούθως:</w:t>
      </w:r>
    </w:p>
    <w:p w:rsidR="00E50A2E" w:rsidRDefault="00E50A2E" w:rsidP="004E3586">
      <w:pPr>
        <w:spacing w:line="360" w:lineRule="auto"/>
        <w:ind w:left="720"/>
        <w:jc w:val="both"/>
        <w:rPr>
          <w:rFonts w:ascii="Bookman Old Style" w:hAnsi="Bookman Old Style"/>
          <w:sz w:val="28"/>
          <w:szCs w:val="28"/>
        </w:rPr>
      </w:pPr>
    </w:p>
    <w:p w:rsidR="00016DF7" w:rsidRDefault="00E50A2E" w:rsidP="00016DF7">
      <w:pPr>
        <w:spacing w:line="360" w:lineRule="auto"/>
        <w:ind w:left="720"/>
        <w:jc w:val="center"/>
        <w:rPr>
          <w:rFonts w:ascii="Bookman Old Style" w:hAnsi="Bookman Old Style"/>
          <w:b/>
          <w:sz w:val="28"/>
          <w:szCs w:val="28"/>
          <w:u w:val="single"/>
        </w:rPr>
      </w:pPr>
      <w:r>
        <w:rPr>
          <w:rFonts w:ascii="Bookman Old Style" w:hAnsi="Bookman Old Style"/>
          <w:b/>
          <w:sz w:val="28"/>
          <w:szCs w:val="28"/>
        </w:rPr>
        <w:t xml:space="preserve">Ε. </w:t>
      </w:r>
      <w:r w:rsidR="004F5DD1">
        <w:rPr>
          <w:rFonts w:ascii="Bookman Old Style" w:hAnsi="Bookman Old Style"/>
          <w:b/>
          <w:sz w:val="28"/>
          <w:szCs w:val="28"/>
          <w:u w:val="single"/>
        </w:rPr>
        <w:t>ΕΜΦΑΝΙΣΕΙΣ ΔΙΚΗΓΟΡΩΝ ΜΕΛΩΝ ΤΗΣ «ΟΙΚΟΓΕΝΕΙΑΣ ΤΟΥ ΔΙΚΑΣΤΗ»</w:t>
      </w:r>
    </w:p>
    <w:p w:rsidR="005E48AC" w:rsidRPr="00167B60" w:rsidRDefault="005E48AC" w:rsidP="005E48AC">
      <w:pPr>
        <w:spacing w:line="360" w:lineRule="auto"/>
        <w:ind w:left="720"/>
        <w:jc w:val="center"/>
        <w:rPr>
          <w:rFonts w:ascii="Bookman Old Style" w:hAnsi="Bookman Old Style"/>
          <w:b/>
          <w:sz w:val="28"/>
          <w:szCs w:val="28"/>
        </w:rPr>
      </w:pPr>
      <w:r w:rsidRPr="00167B60">
        <w:rPr>
          <w:rFonts w:ascii="Bookman Old Style" w:hAnsi="Bookman Old Style"/>
          <w:b/>
          <w:sz w:val="28"/>
          <w:szCs w:val="28"/>
        </w:rPr>
        <w:t>Δικαστική Πρακτική</w:t>
      </w:r>
    </w:p>
    <w:p w:rsidR="005E48AC" w:rsidRDefault="005E48AC" w:rsidP="00167B60">
      <w:pPr>
        <w:pBdr>
          <w:bottom w:val="single" w:sz="6" w:space="1" w:color="auto"/>
        </w:pBdr>
        <w:spacing w:line="360" w:lineRule="auto"/>
        <w:ind w:left="720"/>
        <w:jc w:val="center"/>
        <w:rPr>
          <w:rFonts w:ascii="Bookman Old Style" w:hAnsi="Bookman Old Style"/>
          <w:bCs/>
          <w:sz w:val="28"/>
          <w:szCs w:val="28"/>
        </w:rPr>
      </w:pPr>
      <w:r w:rsidRPr="005E48AC">
        <w:rPr>
          <w:rFonts w:ascii="Bookman Old Style" w:hAnsi="Bookman Old Style"/>
          <w:bCs/>
          <w:sz w:val="28"/>
          <w:szCs w:val="28"/>
        </w:rPr>
        <w:t>ημερ. 17 Μαρτίου 1988, όπως τροποποιήθηκε με αποφάσεις του Ανωτάτου Δικαστηρίου, ημερ. 21.7.1989, 18.9.2003, 30.11.2006, 4.10.2011, 8.3.2018, 28.1.2019 και 11.2.2019</w:t>
      </w:r>
    </w:p>
    <w:p w:rsidR="005E48AC" w:rsidRPr="005E48AC" w:rsidRDefault="005E48AC" w:rsidP="005E48AC">
      <w:pPr>
        <w:spacing w:line="360" w:lineRule="auto"/>
        <w:ind w:left="720"/>
        <w:jc w:val="both"/>
        <w:rPr>
          <w:rFonts w:ascii="Bookman Old Style" w:hAnsi="Bookman Old Style"/>
          <w:bCs/>
          <w:sz w:val="28"/>
          <w:szCs w:val="28"/>
        </w:rPr>
      </w:pPr>
      <w:r w:rsidRPr="005E48AC">
        <w:rPr>
          <w:rFonts w:ascii="Bookman Old Style" w:hAnsi="Bookman Old Style"/>
          <w:bCs/>
          <w:sz w:val="28"/>
          <w:szCs w:val="28"/>
        </w:rPr>
        <w:lastRenderedPageBreak/>
        <w:t>Λαμβάνοντας υπόψη τις συνταγματικές διατάξεις για ουσιαστική κατοχύρωση της ισότητας ενώπιον της Δικαιοσύνης (Άρθρο 28.1) και την εξασφάλιση του απρόσωπου χαρακτήρα των Δικαστηρίων στην άσκηση των δικαστικών τους λειτουργιών και έχοντας υπόψη την κτηθείσα πείρα από τη μέχρι τούδε εφαρμογή της πιο πάνω δικαστικής πρακτικής, το Ανώτατο Δικαστήριο εκδίδει, στα πλαίσια των αρμοδιοτήτων του, την πιο κάτω τροποποίηση της:</w:t>
      </w:r>
    </w:p>
    <w:p w:rsidR="00E70311" w:rsidRPr="00E70311" w:rsidRDefault="00E70311" w:rsidP="00E70311">
      <w:pPr>
        <w:spacing w:after="200" w:line="360" w:lineRule="auto"/>
        <w:ind w:left="720"/>
        <w:jc w:val="both"/>
        <w:rPr>
          <w:rFonts w:ascii="Bookman Old Style" w:eastAsia="Calibri" w:hAnsi="Bookman Old Style" w:cs="Arial"/>
          <w:sz w:val="28"/>
          <w:szCs w:val="28"/>
        </w:rPr>
      </w:pPr>
      <w:r w:rsidRPr="00E70311">
        <w:rPr>
          <w:rFonts w:ascii="Bookman Old Style" w:eastAsia="Calibri" w:hAnsi="Bookman Old Style" w:cs="Arial"/>
          <w:sz w:val="28"/>
          <w:szCs w:val="28"/>
        </w:rPr>
        <w:t xml:space="preserve">1. Δικαστής δεν εκδικάζει μόνος ή ως μέλος σύνθεσης δικαστηρίου οποιουδήποτε βαθμού δικαιοδοσίας, υπόθεση όπου εμφανίζεται ως δικηγόρος μέλος της «οικογένειας του δικαστή» καθώς και δικηγόροι οι οποίοι είναι εργοδότες ή εργοδοτούμενοι ή συνέταιροι ή δικηγόροι που εργάζονται κάτω από την ίδια επαγγελματική στέγη με τον δικηγόρο αυτό. </w:t>
      </w:r>
    </w:p>
    <w:p w:rsidR="00E70311" w:rsidRPr="00E70311" w:rsidRDefault="00E70311" w:rsidP="00E70311">
      <w:pPr>
        <w:spacing w:after="200" w:line="360" w:lineRule="auto"/>
        <w:ind w:left="720"/>
        <w:jc w:val="both"/>
        <w:rPr>
          <w:rFonts w:ascii="Bookman Old Style" w:eastAsia="Calibri" w:hAnsi="Bookman Old Style" w:cs="Arial"/>
          <w:sz w:val="28"/>
          <w:szCs w:val="28"/>
        </w:rPr>
      </w:pPr>
      <w:r w:rsidRPr="00E70311">
        <w:rPr>
          <w:rFonts w:ascii="Bookman Old Style" w:eastAsia="Calibri" w:hAnsi="Bookman Old Style" w:cs="Arial"/>
          <w:sz w:val="28"/>
          <w:szCs w:val="28"/>
        </w:rPr>
        <w:t xml:space="preserve">2(α) Ο όρος «Οικογένεια του δικαστή» για σκοπούς της παρούσας πρακτικής περιλαμβάνει γονείς, σύζυγο, τέκνα, συζύγους τέκνων, αδελφούς, τέκνα αδελφών και συζύγους αδελφών, πρόσωπα με τα οποία ο δικαστής διατηρεί σχέση πεθερού – γαμπρού/νύμφης ή συμπεθέρου και πρόσωπα που έχουν μαζί του πνευματική συγγένεια. </w:t>
      </w:r>
    </w:p>
    <w:p w:rsidR="00E70311" w:rsidRPr="00E70311" w:rsidRDefault="00E70311" w:rsidP="00E70311">
      <w:pPr>
        <w:spacing w:after="200" w:line="360" w:lineRule="auto"/>
        <w:ind w:left="720"/>
        <w:jc w:val="both"/>
        <w:rPr>
          <w:rFonts w:ascii="Bookman Old Style" w:eastAsia="Calibri" w:hAnsi="Bookman Old Style" w:cs="Arial"/>
          <w:sz w:val="28"/>
          <w:szCs w:val="28"/>
        </w:rPr>
      </w:pPr>
      <w:r w:rsidRPr="00E70311">
        <w:rPr>
          <w:rFonts w:ascii="Bookman Old Style" w:eastAsia="Calibri" w:hAnsi="Bookman Old Style" w:cs="Arial"/>
          <w:sz w:val="28"/>
          <w:szCs w:val="28"/>
        </w:rPr>
        <w:t xml:space="preserve">(β) Ο όρος «σύζυγος δικαστή» περιλαμβάνει σύντροφο του δικαστή, ανεξαρτήτως φύλου ή οποιοδήποτε άλλο πρόσωπο που βρίσκεται σε τέτοιας φύσεως στενή προσωπική σχέση με το δικαστή. </w:t>
      </w:r>
    </w:p>
    <w:p w:rsidR="00E70311" w:rsidRPr="00E70311" w:rsidRDefault="00E70311" w:rsidP="00E70311">
      <w:pPr>
        <w:spacing w:after="200" w:line="360" w:lineRule="auto"/>
        <w:ind w:left="720"/>
        <w:jc w:val="both"/>
        <w:rPr>
          <w:rFonts w:ascii="Bookman Old Style" w:eastAsia="Calibri" w:hAnsi="Bookman Old Style" w:cs="Arial"/>
          <w:sz w:val="28"/>
          <w:szCs w:val="28"/>
        </w:rPr>
      </w:pPr>
      <w:r w:rsidRPr="00E70311">
        <w:rPr>
          <w:rFonts w:ascii="Bookman Old Style" w:eastAsia="Calibri" w:hAnsi="Bookman Old Style" w:cs="Arial"/>
          <w:sz w:val="28"/>
          <w:szCs w:val="28"/>
        </w:rPr>
        <w:t>(γ) Ο όρος «πνευματική συγγένεια» έχει την έννοια της σχέσης αναδόχου και αναδεκτού. Οποιαδήποτε άλλη σχέση που προκύπτει από βάφτιση διέπεται από τις αρχές περί εξαίρεσης κατά τη νομολογία και τον Οδηγό Δικαστικής Συμπεριφοράς.</w:t>
      </w:r>
    </w:p>
    <w:p w:rsidR="00E70311" w:rsidRPr="00E70311" w:rsidRDefault="00E70311" w:rsidP="00E70311">
      <w:pPr>
        <w:spacing w:after="200" w:line="360" w:lineRule="auto"/>
        <w:ind w:left="720"/>
        <w:jc w:val="both"/>
        <w:rPr>
          <w:rFonts w:ascii="Bookman Old Style" w:eastAsia="Calibri" w:hAnsi="Bookman Old Style" w:cs="Arial"/>
          <w:sz w:val="28"/>
          <w:szCs w:val="28"/>
        </w:rPr>
      </w:pPr>
      <w:r w:rsidRPr="00E70311">
        <w:rPr>
          <w:rFonts w:ascii="Bookman Old Style" w:eastAsia="Calibri" w:hAnsi="Bookman Old Style" w:cs="Arial"/>
          <w:sz w:val="28"/>
          <w:szCs w:val="28"/>
        </w:rPr>
        <w:lastRenderedPageBreak/>
        <w:t>3. Η δικαστική αυτή πρακτική δεν ισχύει σε περιπτώσεις υποθέσεων της Ολομέλειας του Ανωτάτου Δικαστηρίου, καθώς και σε περιπτώσεις τυπικών εμφανίσεων. Νοείται ότι Ολομέλεια του Ανωτάτου Δικαστηρίου σημαίνει την Πλήρη Ολομέλεια, απαρτιζόμενη από επτά τουλάχιστον Μέλη του Σώματος.</w:t>
      </w:r>
    </w:p>
    <w:p w:rsidR="00E70311" w:rsidRPr="00E70311" w:rsidRDefault="00E70311" w:rsidP="00E70311">
      <w:pPr>
        <w:spacing w:after="200" w:line="360" w:lineRule="auto"/>
        <w:ind w:left="720"/>
        <w:jc w:val="both"/>
        <w:rPr>
          <w:rFonts w:ascii="Bookman Old Style" w:eastAsia="Calibri" w:hAnsi="Bookman Old Style" w:cs="Arial"/>
          <w:sz w:val="28"/>
          <w:szCs w:val="28"/>
        </w:rPr>
      </w:pPr>
      <w:r w:rsidRPr="00E70311">
        <w:rPr>
          <w:rFonts w:ascii="Bookman Old Style" w:eastAsia="Calibri" w:hAnsi="Bookman Old Style" w:cs="Arial"/>
          <w:sz w:val="28"/>
          <w:szCs w:val="28"/>
        </w:rPr>
        <w:t>4. Νοείται ότι η παρούσα Δικαστική Πρακτική δεν έχει αναδρομική ισχύ αναφορικά με υποθέσεις των οποίων άρχισε και εκκρεμεί η ακρόαση ή και η έκδοση απόφασης.</w:t>
      </w:r>
    </w:p>
    <w:p w:rsidR="00E70311" w:rsidRPr="00555871" w:rsidRDefault="00E70311" w:rsidP="00555871">
      <w:pPr>
        <w:spacing w:after="200" w:line="360" w:lineRule="auto"/>
        <w:ind w:left="720"/>
        <w:jc w:val="both"/>
        <w:rPr>
          <w:rFonts w:ascii="Bookman Old Style" w:eastAsia="Calibri" w:hAnsi="Bookman Old Style" w:cs="Arial"/>
          <w:sz w:val="28"/>
          <w:szCs w:val="28"/>
        </w:rPr>
      </w:pPr>
      <w:r w:rsidRPr="00E70311">
        <w:rPr>
          <w:rFonts w:ascii="Bookman Old Style" w:eastAsia="Calibri" w:hAnsi="Bookman Old Style" w:cs="Arial"/>
          <w:sz w:val="28"/>
          <w:szCs w:val="28"/>
        </w:rPr>
        <w:t>5. Νοείται περαιτέρω ότι ο όρος «επαγγελματική στέγη» ανωτέρω δεν περιλαμβάνει τη Νομική Υπηρεσία της Δημοκρατίας.</w:t>
      </w:r>
    </w:p>
    <w:sectPr w:rsidR="00E70311" w:rsidRPr="00555871" w:rsidSect="00555871">
      <w:pgSz w:w="11906" w:h="16838"/>
      <w:pgMar w:top="1135"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A4"/>
    <w:rsid w:val="00016DF7"/>
    <w:rsid w:val="00167B60"/>
    <w:rsid w:val="00465EBD"/>
    <w:rsid w:val="004E3586"/>
    <w:rsid w:val="004F5DD1"/>
    <w:rsid w:val="00555871"/>
    <w:rsid w:val="005658D4"/>
    <w:rsid w:val="005A1962"/>
    <w:rsid w:val="005E48AC"/>
    <w:rsid w:val="007E0EE3"/>
    <w:rsid w:val="00916375"/>
    <w:rsid w:val="00AD4372"/>
    <w:rsid w:val="00D14C94"/>
    <w:rsid w:val="00D53AA4"/>
    <w:rsid w:val="00E50A2E"/>
    <w:rsid w:val="00E70311"/>
    <w:rsid w:val="00F52E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9020"/>
  <w15:chartTrackingRefBased/>
  <w15:docId w15:val="{A42BEEDE-62E5-41D2-A11A-1D00D6B0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Konstantinou  Photoula</dc:creator>
  <cp:keywords/>
  <dc:description/>
  <cp:lastModifiedBy>Andreas Tserkezos</cp:lastModifiedBy>
  <cp:revision>15</cp:revision>
  <dcterms:created xsi:type="dcterms:W3CDTF">2020-08-24T08:05:00Z</dcterms:created>
  <dcterms:modified xsi:type="dcterms:W3CDTF">2020-09-14T09:20:00Z</dcterms:modified>
</cp:coreProperties>
</file>